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79" w:rsidRDefault="000B5C79" w:rsidP="000B5C79">
      <w:pPr>
        <w:pStyle w:val="Heading1"/>
        <w:jc w:val="center"/>
      </w:pPr>
      <w:bookmarkStart w:id="0" w:name="_Toc384816076"/>
      <w:bookmarkStart w:id="1" w:name="_Toc398211519"/>
      <w:r>
        <w:t>Standard Precautions</w:t>
      </w:r>
      <w:bookmarkEnd w:id="0"/>
      <w:bookmarkEnd w:id="1"/>
    </w:p>
    <w:p w:rsidR="000B5C79" w:rsidRPr="000B5C79" w:rsidRDefault="000B5C79" w:rsidP="000B5C79">
      <w:pPr>
        <w:tabs>
          <w:tab w:val="left" w:pos="450"/>
        </w:tabs>
        <w:ind w:left="90"/>
        <w:jc w:val="center"/>
        <w:rPr>
          <w:sz w:val="24"/>
          <w:szCs w:val="24"/>
        </w:rPr>
      </w:pPr>
      <w:r>
        <w:rPr>
          <w:sz w:val="20"/>
        </w:rPr>
        <w:t>(</w:t>
      </w:r>
      <w:r w:rsidRPr="000B5C79">
        <w:rPr>
          <w:sz w:val="24"/>
          <w:szCs w:val="24"/>
        </w:rPr>
        <w:t xml:space="preserve">Administrative Policy &amp; Procedure #746 – please click </w:t>
      </w:r>
      <w:hyperlink r:id="rId7" w:history="1">
        <w:r w:rsidRPr="000B5C79">
          <w:rPr>
            <w:rStyle w:val="Hyperlink"/>
            <w:color w:val="0070C0"/>
            <w:sz w:val="24"/>
            <w:szCs w:val="24"/>
          </w:rPr>
          <w:t>HERE</w:t>
        </w:r>
      </w:hyperlink>
      <w:r w:rsidRPr="000B5C79">
        <w:rPr>
          <w:sz w:val="24"/>
          <w:szCs w:val="24"/>
        </w:rPr>
        <w:t xml:space="preserve"> to view full policy)</w:t>
      </w:r>
    </w:p>
    <w:p w:rsidR="000B5C79" w:rsidRPr="000B5C79" w:rsidRDefault="000B5C79" w:rsidP="000B5C79">
      <w:pPr>
        <w:pStyle w:val="Default"/>
        <w:ind w:left="810"/>
        <w:rPr>
          <w:rFonts w:asciiTheme="minorHAnsi" w:hAnsiTheme="minorHAnsi"/>
        </w:rPr>
      </w:pPr>
    </w:p>
    <w:p w:rsidR="000B5C79" w:rsidRPr="000B5C79" w:rsidRDefault="000B5C79" w:rsidP="000B5C79">
      <w:pPr>
        <w:pStyle w:val="Default"/>
        <w:rPr>
          <w:rFonts w:asciiTheme="minorHAnsi" w:hAnsiTheme="minorHAnsi"/>
          <w:color w:val="38A7FF" w:themeColor="accent5" w:themeShade="BF"/>
        </w:rPr>
      </w:pPr>
      <w:r w:rsidRPr="000B5C79">
        <w:rPr>
          <w:rFonts w:asciiTheme="minorHAnsi" w:hAnsiTheme="minorHAnsi"/>
        </w:rPr>
        <w:t xml:space="preserve"> </w:t>
      </w:r>
      <w:r w:rsidRPr="000B5C79">
        <w:rPr>
          <w:rFonts w:asciiTheme="minorHAnsi" w:hAnsiTheme="minorHAnsi"/>
          <w:b/>
          <w:bCs/>
          <w:color w:val="38A7FF" w:themeColor="accent5" w:themeShade="BF"/>
        </w:rPr>
        <w:t xml:space="preserve">PURPOSE: </w:t>
      </w:r>
    </w:p>
    <w:p w:rsidR="000B5C79" w:rsidRPr="000B5C79" w:rsidRDefault="000B5C79" w:rsidP="000B5C79">
      <w:pPr>
        <w:pStyle w:val="Default"/>
        <w:rPr>
          <w:rFonts w:asciiTheme="minorHAnsi" w:hAnsiTheme="minorHAnsi"/>
        </w:rPr>
      </w:pPr>
      <w:r w:rsidRPr="000B5C79">
        <w:rPr>
          <w:rFonts w:asciiTheme="minorHAnsi" w:hAnsiTheme="minorHAnsi"/>
        </w:rPr>
        <w:t xml:space="preserve">To reduce the risk of transmission of microorganisms found in blood, body fluids, and moist mucous membranes from both recognized and unrecognized sources of infection. </w:t>
      </w:r>
    </w:p>
    <w:p w:rsidR="000B5C79" w:rsidRPr="000B5C79" w:rsidRDefault="000B5C79" w:rsidP="000B5C79">
      <w:pPr>
        <w:pStyle w:val="Default"/>
        <w:rPr>
          <w:rFonts w:asciiTheme="minorHAnsi" w:hAnsiTheme="minorHAnsi"/>
        </w:rPr>
      </w:pPr>
      <w:bookmarkStart w:id="2" w:name="_GoBack"/>
      <w:bookmarkEnd w:id="2"/>
    </w:p>
    <w:p w:rsidR="000B5C79" w:rsidRPr="000B5C79" w:rsidRDefault="000B5C79" w:rsidP="000B5C79">
      <w:pPr>
        <w:pStyle w:val="Default"/>
        <w:rPr>
          <w:rFonts w:asciiTheme="minorHAnsi" w:hAnsiTheme="minorHAnsi"/>
          <w:color w:val="38A7FF" w:themeColor="accent5" w:themeShade="BF"/>
        </w:rPr>
      </w:pPr>
      <w:r w:rsidRPr="000B5C79">
        <w:rPr>
          <w:rFonts w:asciiTheme="minorHAnsi" w:hAnsiTheme="minorHAnsi"/>
          <w:b/>
          <w:bCs/>
          <w:color w:val="38A7FF" w:themeColor="accent5" w:themeShade="BF"/>
        </w:rPr>
        <w:t xml:space="preserve">POLICY: </w:t>
      </w:r>
    </w:p>
    <w:p w:rsidR="000B5C79" w:rsidRPr="000B5C79" w:rsidRDefault="000B5C79" w:rsidP="000B5C79">
      <w:pPr>
        <w:pStyle w:val="Default"/>
        <w:rPr>
          <w:rFonts w:asciiTheme="minorHAnsi" w:hAnsiTheme="minorHAnsi"/>
        </w:rPr>
      </w:pPr>
      <w:r w:rsidRPr="000B5C79">
        <w:rPr>
          <w:rFonts w:asciiTheme="minorHAnsi" w:hAnsiTheme="minorHAnsi"/>
        </w:rPr>
        <w:t xml:space="preserve">Standard Precautions apply to </w:t>
      </w:r>
      <w:r w:rsidRPr="000B5C79">
        <w:rPr>
          <w:rFonts w:asciiTheme="minorHAnsi" w:hAnsiTheme="minorHAnsi"/>
          <w:b/>
          <w:bCs/>
          <w:i/>
          <w:iCs/>
        </w:rPr>
        <w:t xml:space="preserve">ALL </w:t>
      </w:r>
      <w:r w:rsidRPr="000B5C79">
        <w:rPr>
          <w:rFonts w:asciiTheme="minorHAnsi" w:hAnsiTheme="minorHAnsi"/>
        </w:rPr>
        <w:t xml:space="preserve">patients regardless of their diagnosis or presumed infection status. </w:t>
      </w:r>
    </w:p>
    <w:p w:rsidR="000B5C79" w:rsidRPr="000B5C79" w:rsidRDefault="000B5C79" w:rsidP="000B5C79">
      <w:pPr>
        <w:pStyle w:val="Default"/>
        <w:rPr>
          <w:rFonts w:asciiTheme="minorHAnsi" w:hAnsiTheme="minorHAnsi"/>
        </w:rPr>
      </w:pPr>
      <w:r w:rsidRPr="000B5C79">
        <w:rPr>
          <w:rFonts w:asciiTheme="minorHAnsi" w:hAnsiTheme="minorHAnsi"/>
        </w:rPr>
        <w:t xml:space="preserve">Standard Precautions apply to 1) blood; 2) all body fluids, secretions, and excretions regardless of whether or not they contain visible blood; 3) </w:t>
      </w:r>
      <w:proofErr w:type="gramStart"/>
      <w:r w:rsidRPr="000B5C79">
        <w:rPr>
          <w:rFonts w:asciiTheme="minorHAnsi" w:hAnsiTheme="minorHAnsi"/>
        </w:rPr>
        <w:t>non intact</w:t>
      </w:r>
      <w:proofErr w:type="gramEnd"/>
      <w:r w:rsidRPr="000B5C79">
        <w:rPr>
          <w:rFonts w:asciiTheme="minorHAnsi" w:hAnsiTheme="minorHAnsi"/>
        </w:rPr>
        <w:t xml:space="preserve"> skin; 4) mucous membranes. </w:t>
      </w:r>
    </w:p>
    <w:p w:rsidR="000B5C79" w:rsidRPr="000B5C79" w:rsidRDefault="000B5C79" w:rsidP="000B5C79">
      <w:pPr>
        <w:pStyle w:val="Default"/>
        <w:rPr>
          <w:rFonts w:asciiTheme="minorHAnsi" w:hAnsiTheme="minorHAnsi"/>
        </w:rPr>
      </w:pPr>
    </w:p>
    <w:p w:rsidR="000B5C79" w:rsidRPr="000B5C79" w:rsidRDefault="000B5C79" w:rsidP="000B5C79">
      <w:pPr>
        <w:pStyle w:val="Default"/>
        <w:rPr>
          <w:rFonts w:asciiTheme="minorHAnsi" w:hAnsiTheme="minorHAnsi"/>
          <w:color w:val="38A7FF" w:themeColor="accent5" w:themeShade="BF"/>
        </w:rPr>
      </w:pPr>
      <w:r w:rsidRPr="000B5C79">
        <w:rPr>
          <w:rFonts w:asciiTheme="minorHAnsi" w:hAnsiTheme="minorHAnsi"/>
          <w:b/>
          <w:bCs/>
          <w:color w:val="38A7FF" w:themeColor="accent5" w:themeShade="BF"/>
        </w:rPr>
        <w:t xml:space="preserve">PROCEDURE: </w:t>
      </w:r>
    </w:p>
    <w:p w:rsidR="000B5C79" w:rsidRPr="000B5C79" w:rsidRDefault="000B5C79" w:rsidP="000B5C79">
      <w:pPr>
        <w:pStyle w:val="Default"/>
        <w:numPr>
          <w:ilvl w:val="0"/>
          <w:numId w:val="11"/>
        </w:numPr>
        <w:ind w:hanging="270"/>
        <w:rPr>
          <w:rFonts w:asciiTheme="minorHAnsi" w:hAnsiTheme="minorHAnsi"/>
        </w:rPr>
      </w:pPr>
      <w:r w:rsidRPr="000B5C79">
        <w:rPr>
          <w:rFonts w:asciiTheme="minorHAnsi" w:hAnsiTheme="minorHAnsi"/>
        </w:rPr>
        <w:t xml:space="preserve">Hands, skin surfaces, and mucous membranes </w:t>
      </w:r>
      <w:r w:rsidRPr="000B5C79">
        <w:rPr>
          <w:rFonts w:asciiTheme="minorHAnsi" w:hAnsiTheme="minorHAnsi"/>
          <w:i/>
          <w:iCs/>
        </w:rPr>
        <w:t xml:space="preserve">must </w:t>
      </w:r>
      <w:r w:rsidRPr="000B5C79">
        <w:rPr>
          <w:rFonts w:asciiTheme="minorHAnsi" w:hAnsiTheme="minorHAnsi"/>
        </w:rPr>
        <w:t xml:space="preserve">be decontaminated following the WHO Hand Hygiene Guidelines (see policy #745 on Hand Hygiene for details). At </w:t>
      </w:r>
      <w:proofErr w:type="gramStart"/>
      <w:r w:rsidRPr="000B5C79">
        <w:rPr>
          <w:rFonts w:asciiTheme="minorHAnsi" w:hAnsiTheme="minorHAnsi"/>
        </w:rPr>
        <w:t>a minimum hands</w:t>
      </w:r>
      <w:proofErr w:type="gramEnd"/>
      <w:r w:rsidRPr="000B5C79">
        <w:rPr>
          <w:rFonts w:asciiTheme="minorHAnsi" w:hAnsiTheme="minorHAnsi"/>
        </w:rPr>
        <w:t xml:space="preserve"> should be decontaminated:</w:t>
      </w:r>
    </w:p>
    <w:p w:rsidR="000B5C79" w:rsidRPr="000B5C79" w:rsidRDefault="000B5C79" w:rsidP="000B5C79">
      <w:pPr>
        <w:pStyle w:val="Default"/>
        <w:numPr>
          <w:ilvl w:val="1"/>
          <w:numId w:val="11"/>
        </w:numPr>
        <w:ind w:left="900"/>
        <w:rPr>
          <w:rFonts w:asciiTheme="minorHAnsi" w:hAnsiTheme="minorHAnsi"/>
        </w:rPr>
      </w:pPr>
      <w:r w:rsidRPr="000B5C79">
        <w:rPr>
          <w:rFonts w:asciiTheme="minorHAnsi" w:hAnsiTheme="minorHAnsi"/>
          <w:i/>
          <w:iCs/>
        </w:rPr>
        <w:t xml:space="preserve">before </w:t>
      </w:r>
      <w:r w:rsidRPr="000B5C79">
        <w:rPr>
          <w:rFonts w:asciiTheme="minorHAnsi" w:hAnsiTheme="minorHAnsi"/>
        </w:rPr>
        <w:t xml:space="preserve">patient contact </w:t>
      </w:r>
    </w:p>
    <w:p w:rsidR="000B5C79" w:rsidRPr="000B5C79" w:rsidRDefault="000B5C79" w:rsidP="000B5C79">
      <w:pPr>
        <w:pStyle w:val="Default"/>
        <w:numPr>
          <w:ilvl w:val="1"/>
          <w:numId w:val="11"/>
        </w:numPr>
        <w:ind w:left="900"/>
        <w:rPr>
          <w:rFonts w:asciiTheme="minorHAnsi" w:hAnsiTheme="minorHAnsi"/>
        </w:rPr>
      </w:pPr>
      <w:r w:rsidRPr="000B5C79">
        <w:rPr>
          <w:rFonts w:asciiTheme="minorHAnsi" w:hAnsiTheme="minorHAnsi"/>
          <w:i/>
          <w:iCs/>
        </w:rPr>
        <w:t xml:space="preserve">after </w:t>
      </w:r>
      <w:r w:rsidRPr="000B5C79">
        <w:rPr>
          <w:rFonts w:asciiTheme="minorHAnsi" w:hAnsiTheme="minorHAnsi"/>
        </w:rPr>
        <w:t xml:space="preserve">patient contact </w:t>
      </w:r>
    </w:p>
    <w:p w:rsidR="000B5C79" w:rsidRPr="000B5C79" w:rsidRDefault="000B5C79" w:rsidP="000B5C79">
      <w:pPr>
        <w:pStyle w:val="Default"/>
        <w:numPr>
          <w:ilvl w:val="1"/>
          <w:numId w:val="11"/>
        </w:numPr>
        <w:ind w:left="900"/>
        <w:rPr>
          <w:rFonts w:asciiTheme="minorHAnsi" w:hAnsiTheme="minorHAnsi"/>
        </w:rPr>
      </w:pPr>
      <w:r w:rsidRPr="000B5C79">
        <w:rPr>
          <w:rFonts w:asciiTheme="minorHAnsi" w:hAnsiTheme="minorHAnsi"/>
          <w:i/>
          <w:iCs/>
        </w:rPr>
        <w:t xml:space="preserve">after </w:t>
      </w:r>
      <w:r w:rsidRPr="000B5C79">
        <w:rPr>
          <w:rFonts w:asciiTheme="minorHAnsi" w:hAnsiTheme="minorHAnsi"/>
        </w:rPr>
        <w:t xml:space="preserve">contact with blood, body fluids, secretions, excretions, non-intact skin or mucous membranes </w:t>
      </w:r>
    </w:p>
    <w:p w:rsidR="000B5C79" w:rsidRPr="000B5C79" w:rsidRDefault="000B5C79" w:rsidP="000B5C79">
      <w:pPr>
        <w:pStyle w:val="Default"/>
        <w:numPr>
          <w:ilvl w:val="1"/>
          <w:numId w:val="11"/>
        </w:numPr>
        <w:ind w:left="900"/>
        <w:rPr>
          <w:rFonts w:asciiTheme="minorHAnsi" w:hAnsiTheme="minorHAnsi"/>
        </w:rPr>
      </w:pPr>
      <w:r w:rsidRPr="000B5C79">
        <w:rPr>
          <w:rFonts w:asciiTheme="minorHAnsi" w:hAnsiTheme="minorHAnsi"/>
          <w:i/>
          <w:iCs/>
        </w:rPr>
        <w:t xml:space="preserve">after </w:t>
      </w:r>
      <w:r w:rsidRPr="000B5C79">
        <w:rPr>
          <w:rFonts w:asciiTheme="minorHAnsi" w:hAnsiTheme="minorHAnsi"/>
        </w:rPr>
        <w:t xml:space="preserve">contact with the patient’s environment - any surface potentially contaminated with blood or other body fluids </w:t>
      </w:r>
    </w:p>
    <w:p w:rsidR="000B5C79" w:rsidRPr="000B5C79" w:rsidRDefault="000B5C79" w:rsidP="000B5C79">
      <w:pPr>
        <w:pStyle w:val="Default"/>
        <w:numPr>
          <w:ilvl w:val="1"/>
          <w:numId w:val="11"/>
        </w:numPr>
        <w:ind w:left="900"/>
        <w:rPr>
          <w:rFonts w:asciiTheme="minorHAnsi" w:hAnsiTheme="minorHAnsi"/>
        </w:rPr>
      </w:pPr>
      <w:r w:rsidRPr="000B5C79">
        <w:rPr>
          <w:rFonts w:asciiTheme="minorHAnsi" w:hAnsiTheme="minorHAnsi"/>
        </w:rPr>
        <w:t xml:space="preserve"> immediately after parenteral </w:t>
      </w:r>
      <w:r w:rsidRPr="000B5C79">
        <w:rPr>
          <w:rFonts w:asciiTheme="minorHAnsi" w:hAnsiTheme="minorHAnsi"/>
          <w:i/>
          <w:iCs/>
        </w:rPr>
        <w:t xml:space="preserve">(through the skin) </w:t>
      </w:r>
      <w:r w:rsidRPr="000B5C79">
        <w:rPr>
          <w:rFonts w:asciiTheme="minorHAnsi" w:hAnsiTheme="minorHAnsi"/>
        </w:rPr>
        <w:t xml:space="preserve">or splash exposure </w:t>
      </w:r>
    </w:p>
    <w:p w:rsidR="000B5C79" w:rsidRPr="000B5C79" w:rsidRDefault="000B5C79" w:rsidP="000B5C79">
      <w:pPr>
        <w:pStyle w:val="Default"/>
        <w:numPr>
          <w:ilvl w:val="1"/>
          <w:numId w:val="11"/>
        </w:numPr>
        <w:ind w:left="900"/>
        <w:rPr>
          <w:rFonts w:asciiTheme="minorHAnsi" w:hAnsiTheme="minorHAnsi"/>
        </w:rPr>
      </w:pPr>
      <w:r w:rsidRPr="000B5C79">
        <w:rPr>
          <w:rFonts w:asciiTheme="minorHAnsi" w:hAnsiTheme="minorHAnsi"/>
          <w:i/>
          <w:iCs/>
        </w:rPr>
        <w:t xml:space="preserve">before </w:t>
      </w:r>
      <w:r w:rsidRPr="000B5C79">
        <w:rPr>
          <w:rFonts w:asciiTheme="minorHAnsi" w:hAnsiTheme="minorHAnsi"/>
        </w:rPr>
        <w:t xml:space="preserve">donning and </w:t>
      </w:r>
      <w:r w:rsidRPr="000B5C79">
        <w:rPr>
          <w:rFonts w:asciiTheme="minorHAnsi" w:hAnsiTheme="minorHAnsi"/>
          <w:i/>
          <w:iCs/>
        </w:rPr>
        <w:t xml:space="preserve">after </w:t>
      </w:r>
      <w:r w:rsidRPr="000B5C79">
        <w:rPr>
          <w:rFonts w:asciiTheme="minorHAnsi" w:hAnsiTheme="minorHAnsi"/>
        </w:rPr>
        <w:t xml:space="preserve">removing gloves </w:t>
      </w:r>
    </w:p>
    <w:p w:rsidR="000B5C79" w:rsidRPr="000B5C79" w:rsidRDefault="000B5C79" w:rsidP="000B5C79">
      <w:pPr>
        <w:pStyle w:val="Default"/>
        <w:numPr>
          <w:ilvl w:val="1"/>
          <w:numId w:val="11"/>
        </w:numPr>
        <w:ind w:left="900"/>
        <w:rPr>
          <w:rFonts w:asciiTheme="minorHAnsi" w:hAnsiTheme="minorHAnsi"/>
        </w:rPr>
      </w:pPr>
      <w:r w:rsidRPr="000B5C79">
        <w:rPr>
          <w:rFonts w:asciiTheme="minorHAnsi" w:hAnsiTheme="minorHAnsi"/>
          <w:i/>
          <w:iCs/>
        </w:rPr>
        <w:t xml:space="preserve">between </w:t>
      </w:r>
      <w:r w:rsidRPr="000B5C79">
        <w:rPr>
          <w:rFonts w:asciiTheme="minorHAnsi" w:hAnsiTheme="minorHAnsi"/>
        </w:rPr>
        <w:t>patient contact</w:t>
      </w:r>
      <w:r w:rsidRPr="000B5C79">
        <w:rPr>
          <w:rFonts w:asciiTheme="minorHAnsi" w:hAnsiTheme="minorHAnsi"/>
          <w:i/>
          <w:iCs/>
        </w:rPr>
        <w:t xml:space="preserve">s </w:t>
      </w:r>
    </w:p>
    <w:p w:rsidR="000B5C79" w:rsidRPr="000B5C79" w:rsidRDefault="000B5C79" w:rsidP="000B5C79">
      <w:pPr>
        <w:pStyle w:val="Default"/>
        <w:numPr>
          <w:ilvl w:val="1"/>
          <w:numId w:val="11"/>
        </w:numPr>
        <w:ind w:left="900"/>
        <w:rPr>
          <w:rFonts w:asciiTheme="minorHAnsi" w:hAnsiTheme="minorHAnsi"/>
        </w:rPr>
      </w:pPr>
      <w:r w:rsidRPr="000B5C79">
        <w:rPr>
          <w:rFonts w:asciiTheme="minorHAnsi" w:hAnsiTheme="minorHAnsi"/>
        </w:rPr>
        <w:t xml:space="preserve">With soap and water </w:t>
      </w:r>
      <w:r w:rsidRPr="000B5C79">
        <w:rPr>
          <w:rFonts w:asciiTheme="minorHAnsi" w:hAnsiTheme="minorHAnsi"/>
          <w:i/>
          <w:iCs/>
        </w:rPr>
        <w:t xml:space="preserve">after </w:t>
      </w:r>
      <w:r w:rsidRPr="000B5C79">
        <w:rPr>
          <w:rFonts w:asciiTheme="minorHAnsi" w:hAnsiTheme="minorHAnsi"/>
        </w:rPr>
        <w:t>contact with patients with active C. difficile infection</w:t>
      </w:r>
    </w:p>
    <w:p w:rsidR="000B5C79" w:rsidRPr="000B5C79" w:rsidRDefault="000B5C79" w:rsidP="000B5C79">
      <w:pPr>
        <w:pStyle w:val="Default"/>
        <w:ind w:left="900"/>
        <w:rPr>
          <w:rFonts w:asciiTheme="minorHAnsi" w:hAnsiTheme="minorHAnsi"/>
        </w:rPr>
      </w:pPr>
    </w:p>
    <w:p w:rsidR="000B5C79" w:rsidRPr="000B5C79" w:rsidRDefault="000B5C79" w:rsidP="000B5C79">
      <w:pPr>
        <w:pStyle w:val="Default"/>
        <w:numPr>
          <w:ilvl w:val="0"/>
          <w:numId w:val="11"/>
        </w:numPr>
        <w:ind w:hanging="270"/>
        <w:rPr>
          <w:rFonts w:asciiTheme="minorHAnsi" w:hAnsiTheme="minorHAnsi"/>
        </w:rPr>
      </w:pPr>
      <w:r w:rsidRPr="000B5C79">
        <w:rPr>
          <w:rFonts w:asciiTheme="minorHAnsi" w:hAnsiTheme="minorHAnsi"/>
        </w:rPr>
        <w:t xml:space="preserve">All health care workers will be provided with and should routinely use appropriate </w:t>
      </w:r>
      <w:r w:rsidRPr="000B5C79">
        <w:rPr>
          <w:rFonts w:asciiTheme="minorHAnsi" w:hAnsiTheme="minorHAnsi"/>
          <w:b/>
          <w:bCs/>
          <w:i/>
          <w:iCs/>
        </w:rPr>
        <w:t>P</w:t>
      </w:r>
      <w:r w:rsidRPr="000B5C79">
        <w:rPr>
          <w:rFonts w:asciiTheme="minorHAnsi" w:hAnsiTheme="minorHAnsi"/>
        </w:rPr>
        <w:t xml:space="preserve">ersonal </w:t>
      </w:r>
      <w:r w:rsidRPr="000B5C79">
        <w:rPr>
          <w:rFonts w:asciiTheme="minorHAnsi" w:hAnsiTheme="minorHAnsi"/>
          <w:b/>
          <w:bCs/>
          <w:i/>
          <w:iCs/>
        </w:rPr>
        <w:t>P</w:t>
      </w:r>
      <w:r w:rsidRPr="000B5C79">
        <w:rPr>
          <w:rFonts w:asciiTheme="minorHAnsi" w:hAnsiTheme="minorHAnsi"/>
        </w:rPr>
        <w:t xml:space="preserve">rotective </w:t>
      </w:r>
      <w:r w:rsidRPr="000B5C79">
        <w:rPr>
          <w:rFonts w:asciiTheme="minorHAnsi" w:hAnsiTheme="minorHAnsi"/>
          <w:b/>
          <w:bCs/>
          <w:i/>
          <w:iCs/>
        </w:rPr>
        <w:t>E</w:t>
      </w:r>
      <w:r w:rsidRPr="000B5C79">
        <w:rPr>
          <w:rFonts w:asciiTheme="minorHAnsi" w:hAnsiTheme="minorHAnsi"/>
        </w:rPr>
        <w:t xml:space="preserve">quipment </w:t>
      </w:r>
      <w:r w:rsidRPr="000B5C79">
        <w:rPr>
          <w:rFonts w:asciiTheme="minorHAnsi" w:hAnsiTheme="minorHAnsi"/>
          <w:b/>
          <w:bCs/>
          <w:i/>
          <w:iCs/>
        </w:rPr>
        <w:t xml:space="preserve">(PPE) </w:t>
      </w:r>
      <w:r w:rsidRPr="000B5C79">
        <w:rPr>
          <w:rFonts w:asciiTheme="minorHAnsi" w:hAnsiTheme="minorHAnsi"/>
        </w:rPr>
        <w:t xml:space="preserve">as barriers to prevent skin and mucous membrane exposure when exposure to blood or other body fluids from any patient is anticipated. </w:t>
      </w:r>
    </w:p>
    <w:p w:rsidR="000B5C79" w:rsidRPr="000B5C79" w:rsidRDefault="000B5C79" w:rsidP="000B5C79">
      <w:pPr>
        <w:pStyle w:val="Default"/>
        <w:numPr>
          <w:ilvl w:val="0"/>
          <w:numId w:val="11"/>
        </w:numPr>
        <w:ind w:hanging="270"/>
        <w:rPr>
          <w:rFonts w:asciiTheme="minorHAnsi" w:hAnsiTheme="minorHAnsi"/>
        </w:rPr>
      </w:pPr>
      <w:r w:rsidRPr="000B5C79">
        <w:rPr>
          <w:rFonts w:asciiTheme="minorHAnsi" w:hAnsiTheme="minorHAnsi"/>
          <w:i/>
          <w:iCs/>
        </w:rPr>
        <w:t xml:space="preserve">Gloves </w:t>
      </w:r>
      <w:r w:rsidRPr="000B5C79">
        <w:rPr>
          <w:rFonts w:asciiTheme="minorHAnsi" w:hAnsiTheme="minorHAnsi"/>
        </w:rPr>
        <w:t xml:space="preserve">should be worn for touching blood and body fluids, mucous membranes, or non-intact skin of </w:t>
      </w:r>
      <w:r w:rsidRPr="000B5C79">
        <w:rPr>
          <w:rFonts w:asciiTheme="minorHAnsi" w:hAnsiTheme="minorHAnsi"/>
          <w:b/>
          <w:bCs/>
          <w:i/>
          <w:iCs/>
        </w:rPr>
        <w:t xml:space="preserve">ALL </w:t>
      </w:r>
      <w:r w:rsidRPr="000B5C79">
        <w:rPr>
          <w:rFonts w:asciiTheme="minorHAnsi" w:hAnsiTheme="minorHAnsi"/>
        </w:rPr>
        <w:t xml:space="preserve">patients, for handling items or surfaces soiled with blood or body fluids, and for performing venipuncture and other vascular access procedures. Gloves must be changed after contact with each patient or when moving from a “dirty” to a “clean” procedure on the same patient. Hands should always be washed </w:t>
      </w:r>
      <w:r w:rsidRPr="000B5C79">
        <w:rPr>
          <w:rFonts w:asciiTheme="minorHAnsi" w:hAnsiTheme="minorHAnsi"/>
          <w:i/>
          <w:iCs/>
        </w:rPr>
        <w:t xml:space="preserve">before donning </w:t>
      </w:r>
      <w:r w:rsidRPr="000B5C79">
        <w:rPr>
          <w:rFonts w:asciiTheme="minorHAnsi" w:hAnsiTheme="minorHAnsi"/>
        </w:rPr>
        <w:t xml:space="preserve">and </w:t>
      </w:r>
      <w:r w:rsidRPr="000B5C79">
        <w:rPr>
          <w:rFonts w:asciiTheme="minorHAnsi" w:hAnsiTheme="minorHAnsi"/>
          <w:i/>
          <w:iCs/>
        </w:rPr>
        <w:t xml:space="preserve">after removing </w:t>
      </w:r>
      <w:r w:rsidRPr="000B5C79">
        <w:rPr>
          <w:rFonts w:asciiTheme="minorHAnsi" w:hAnsiTheme="minorHAnsi"/>
        </w:rPr>
        <w:t xml:space="preserve">gloves. </w:t>
      </w:r>
    </w:p>
    <w:p w:rsidR="000B5C79" w:rsidRPr="000B5C79" w:rsidRDefault="000B5C79" w:rsidP="000B5C79">
      <w:pPr>
        <w:pStyle w:val="Default"/>
        <w:numPr>
          <w:ilvl w:val="0"/>
          <w:numId w:val="11"/>
        </w:numPr>
        <w:ind w:hanging="270"/>
        <w:rPr>
          <w:rFonts w:asciiTheme="minorHAnsi" w:hAnsiTheme="minorHAnsi"/>
        </w:rPr>
      </w:pPr>
      <w:r w:rsidRPr="000B5C79">
        <w:rPr>
          <w:rFonts w:asciiTheme="minorHAnsi" w:hAnsiTheme="minorHAnsi"/>
          <w:i/>
          <w:iCs/>
        </w:rPr>
        <w:t xml:space="preserve">Masks and protective eyewear </w:t>
      </w:r>
      <w:r w:rsidRPr="000B5C79">
        <w:rPr>
          <w:rFonts w:asciiTheme="minorHAnsi" w:hAnsiTheme="minorHAnsi"/>
        </w:rPr>
        <w:t xml:space="preserve">should be worn during procedures that are likely to generate droplets of blood or other body fluids to prevent exposure of mucous membranes of the mouth, nose, and eyes. An N-95 mask must be worn when caring for tuberculosis patients or suspect tuberculosis patients. </w:t>
      </w:r>
    </w:p>
    <w:p w:rsidR="000B5C79" w:rsidRPr="000B5C79" w:rsidRDefault="000B5C79" w:rsidP="000B5C79">
      <w:pPr>
        <w:pStyle w:val="Default"/>
        <w:numPr>
          <w:ilvl w:val="0"/>
          <w:numId w:val="11"/>
        </w:numPr>
        <w:ind w:hanging="270"/>
        <w:rPr>
          <w:rFonts w:asciiTheme="minorHAnsi" w:hAnsiTheme="minorHAnsi"/>
        </w:rPr>
      </w:pPr>
      <w:r w:rsidRPr="000B5C79">
        <w:rPr>
          <w:rFonts w:asciiTheme="minorHAnsi" w:hAnsiTheme="minorHAnsi"/>
        </w:rPr>
        <w:t xml:space="preserve">Fluid-Resistant </w:t>
      </w:r>
      <w:r w:rsidRPr="000B5C79">
        <w:rPr>
          <w:rFonts w:asciiTheme="minorHAnsi" w:hAnsiTheme="minorHAnsi"/>
          <w:i/>
          <w:iCs/>
        </w:rPr>
        <w:t xml:space="preserve">gowns </w:t>
      </w:r>
      <w:r w:rsidRPr="000B5C79">
        <w:rPr>
          <w:rFonts w:asciiTheme="minorHAnsi" w:hAnsiTheme="minorHAnsi"/>
        </w:rPr>
        <w:t xml:space="preserve">should be worn if contamination of clothing or skin with blood or body fluids is anticipated. Gowns should also be worn during care of patients infected with epidemiologically important microorganisms, such as MRSA, VRE, and </w:t>
      </w:r>
      <w:proofErr w:type="spellStart"/>
      <w:proofErr w:type="gramStart"/>
      <w:r w:rsidRPr="000B5C79">
        <w:rPr>
          <w:rFonts w:asciiTheme="minorHAnsi" w:hAnsiTheme="minorHAnsi"/>
        </w:rPr>
        <w:t>C.difficile</w:t>
      </w:r>
      <w:proofErr w:type="spellEnd"/>
      <w:proofErr w:type="gramEnd"/>
      <w:r w:rsidRPr="000B5C79">
        <w:rPr>
          <w:rFonts w:asciiTheme="minorHAnsi" w:hAnsiTheme="minorHAnsi"/>
        </w:rPr>
        <w:t xml:space="preserve">, and to reduce the opportunity for transmission of these pathogens on clothing from patients or items in their environment to other patients or environments. </w:t>
      </w:r>
    </w:p>
    <w:p w:rsidR="000B5C79" w:rsidRPr="000B5C79" w:rsidRDefault="000B5C79" w:rsidP="000B5C79">
      <w:pPr>
        <w:pStyle w:val="Default"/>
        <w:numPr>
          <w:ilvl w:val="0"/>
          <w:numId w:val="11"/>
        </w:numPr>
        <w:ind w:hanging="270"/>
        <w:rPr>
          <w:rFonts w:asciiTheme="minorHAnsi" w:hAnsiTheme="minorHAnsi"/>
        </w:rPr>
      </w:pPr>
      <w:r w:rsidRPr="000B5C79">
        <w:rPr>
          <w:rFonts w:asciiTheme="minorHAnsi" w:hAnsiTheme="minorHAnsi"/>
        </w:rPr>
        <w:t xml:space="preserve">All health care workers should take precautions to prevent injuries caused by sharp instruments or devices during procedures; when cleaning used instruments; and during disposal of used instruments after procedures. To prevent needle stick injuries, needles should not be recapped, purposely bent or broken by hand, </w:t>
      </w:r>
      <w:r w:rsidRPr="000B5C79">
        <w:rPr>
          <w:rFonts w:asciiTheme="minorHAnsi" w:hAnsiTheme="minorHAnsi"/>
        </w:rPr>
        <w:lastRenderedPageBreak/>
        <w:t xml:space="preserve">removed from disposable syringes, or otherwise manipulated by hand. All used or contaminated disposable syringes and needles, scalpel blades, and other sharp items should be placed in puncture resistant containers for disposal. </w:t>
      </w:r>
    </w:p>
    <w:p w:rsidR="000B5C79" w:rsidRPr="000B5C79" w:rsidRDefault="000B5C79" w:rsidP="000B5C79">
      <w:pPr>
        <w:pStyle w:val="Default"/>
        <w:numPr>
          <w:ilvl w:val="0"/>
          <w:numId w:val="11"/>
        </w:numPr>
        <w:ind w:hanging="270"/>
        <w:rPr>
          <w:rFonts w:asciiTheme="minorHAnsi" w:hAnsiTheme="minorHAnsi"/>
        </w:rPr>
      </w:pPr>
      <w:r w:rsidRPr="000B5C79">
        <w:rPr>
          <w:rFonts w:asciiTheme="minorHAnsi" w:hAnsiTheme="minorHAnsi"/>
        </w:rPr>
        <w:t xml:space="preserve">Mouthpieces, resuscitation bags, or other ventilation devices should be available for use in areas in which the need for resuscitation is predictable and should be used during resuscitation procedures. </w:t>
      </w:r>
    </w:p>
    <w:p w:rsidR="0097557C" w:rsidRPr="000B5C79" w:rsidRDefault="0097557C" w:rsidP="000B5C79">
      <w:pPr>
        <w:spacing w:line="240" w:lineRule="auto"/>
        <w:ind w:right="450"/>
        <w:rPr>
          <w:sz w:val="24"/>
          <w:szCs w:val="24"/>
        </w:rPr>
      </w:pPr>
    </w:p>
    <w:sectPr w:rsidR="0097557C" w:rsidRPr="000B5C79" w:rsidSect="0097557C">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859" w:rsidRDefault="00FC4859">
      <w:pPr>
        <w:spacing w:line="240" w:lineRule="auto"/>
      </w:pPr>
      <w:r>
        <w:separator/>
      </w:r>
    </w:p>
  </w:endnote>
  <w:endnote w:type="continuationSeparator" w:id="0">
    <w:p w:rsidR="00FC4859" w:rsidRDefault="00FC4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7C" w:rsidRDefault="00AA7F9F">
    <w:pPr>
      <w:pStyle w:val="Footer"/>
    </w:pPr>
    <w:r>
      <w:fldChar w:fldCharType="begin"/>
    </w:r>
    <w:r w:rsidR="004F77FB">
      <w:instrText xml:space="preserve"> Page </w:instrText>
    </w:r>
    <w:r>
      <w:fldChar w:fldCharType="separate"/>
    </w:r>
    <w:r w:rsidR="000B5C7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859" w:rsidRDefault="00FC4859">
      <w:pPr>
        <w:spacing w:line="240" w:lineRule="auto"/>
      </w:pPr>
      <w:r>
        <w:separator/>
      </w:r>
    </w:p>
  </w:footnote>
  <w:footnote w:type="continuationSeparator" w:id="0">
    <w:p w:rsidR="00FC4859" w:rsidRDefault="00FC48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97557C">
      <w:tc>
        <w:tcPr>
          <w:tcW w:w="8298" w:type="dxa"/>
          <w:vAlign w:val="center"/>
        </w:tcPr>
        <w:p w:rsidR="0097557C" w:rsidRDefault="0097557C">
          <w:pPr>
            <w:pStyle w:val="Title"/>
          </w:pPr>
        </w:p>
      </w:tc>
      <w:tc>
        <w:tcPr>
          <w:tcW w:w="2718" w:type="dxa"/>
          <w:vAlign w:val="center"/>
        </w:tcPr>
        <w:p w:rsidR="0097557C" w:rsidRDefault="003D7701">
          <w:pPr>
            <w:pStyle w:val="Boxes"/>
          </w:pPr>
          <w:r>
            <w:rPr>
              <w:noProof/>
            </w:rPr>
            <w:drawing>
              <wp:inline distT="0" distB="0" distL="0" distR="0">
                <wp:extent cx="138569" cy="137160"/>
                <wp:effectExtent l="19050" t="19050" r="13831" b="15240"/>
                <wp:docPr id="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1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1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97557C" w:rsidRDefault="0097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7C" w:rsidRPr="002D6929" w:rsidRDefault="002D6929" w:rsidP="002D6929">
    <w:pPr>
      <w:pStyle w:val="Header"/>
      <w:ind w:left="720"/>
    </w:pPr>
    <w:r>
      <w:rPr>
        <w:noProof/>
      </w:rPr>
      <w:drawing>
        <wp:inline distT="0" distB="0" distL="0" distR="0">
          <wp:extent cx="1264966" cy="91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h logo new.jpg"/>
                  <pic:cNvPicPr/>
                </pic:nvPicPr>
                <pic:blipFill>
                  <a:blip r:embed="rId1">
                    <a:extLst>
                      <a:ext uri="{28A0092B-C50C-407E-A947-70E740481C1C}">
                        <a14:useLocalDpi xmlns:a14="http://schemas.microsoft.com/office/drawing/2010/main" val="0"/>
                      </a:ext>
                    </a:extLst>
                  </a:blip>
                  <a:stretch>
                    <a:fillRect/>
                  </a:stretch>
                </pic:blipFill>
                <pic:spPr>
                  <a:xfrm>
                    <a:off x="0" y="0"/>
                    <a:ext cx="126496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947CE4"/>
    <w:multiLevelType w:val="hybridMultilevel"/>
    <w:tmpl w:val="385C907A"/>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156A1"/>
    <w:rsid w:val="0000659E"/>
    <w:rsid w:val="000B5C79"/>
    <w:rsid w:val="000D10CA"/>
    <w:rsid w:val="002A4120"/>
    <w:rsid w:val="002D6929"/>
    <w:rsid w:val="003D7701"/>
    <w:rsid w:val="004029D8"/>
    <w:rsid w:val="004B0E7A"/>
    <w:rsid w:val="004C27D6"/>
    <w:rsid w:val="004F77FB"/>
    <w:rsid w:val="00741521"/>
    <w:rsid w:val="00895ED0"/>
    <w:rsid w:val="0097557C"/>
    <w:rsid w:val="00A954F7"/>
    <w:rsid w:val="00AA7F9F"/>
    <w:rsid w:val="00CC438E"/>
    <w:rsid w:val="00DD026C"/>
    <w:rsid w:val="00E156A1"/>
    <w:rsid w:val="00EE488D"/>
    <w:rsid w:val="00FC1EF3"/>
    <w:rsid w:val="00FC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7F9A7"/>
  <w15:docId w15:val="{A0D456E1-2C86-474E-9CED-1D1B2885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0B5C79"/>
    <w:rPr>
      <w:color w:val="00ED8F" w:themeColor="hyperlink"/>
      <w:u w:val="single"/>
    </w:rPr>
  </w:style>
  <w:style w:type="paragraph" w:customStyle="1" w:styleId="Default">
    <w:name w:val="Default"/>
    <w:rsid w:val="000B5C7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hi/sites/pp/administrative/700/746%20Standard%20Precau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1050\AppData\Local\Microsoft\Windows\Temporary%20Internet%20Files\Content.Outlook\HO52ZEM7\HH%20MSWord%20Template%20LOGO%20CLC%202016.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 MSWord Template LOGO CLC 2016</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CNE1050</dc:creator>
  <cp:lastModifiedBy>Gladys Bonas</cp:lastModifiedBy>
  <cp:revision>2</cp:revision>
  <dcterms:created xsi:type="dcterms:W3CDTF">2018-02-01T18:39:00Z</dcterms:created>
  <dcterms:modified xsi:type="dcterms:W3CDTF">2018-02-01T18:39:00Z</dcterms:modified>
</cp:coreProperties>
</file>